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2" w:rightChars="-20" w:firstLine="5280" w:firstLineChars="165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津人</w:t>
      </w:r>
      <w:r>
        <w:rPr>
          <w:rFonts w:hint="eastAsia" w:eastAsia="仿宋_GB2312"/>
          <w:color w:val="000000"/>
          <w:sz w:val="32"/>
          <w:szCs w:val="32"/>
        </w:rPr>
        <w:t>社办函〔</w:t>
      </w: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default" w:eastAsia="仿宋_GB2312"/>
          <w:color w:val="000000"/>
          <w:sz w:val="32"/>
          <w:szCs w:val="32"/>
          <w:lang w:val="en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〕</w:t>
      </w:r>
      <w:r>
        <w:rPr>
          <w:rFonts w:hint="default" w:eastAsia="仿宋_GB2312"/>
          <w:color w:val="000000"/>
          <w:sz w:val="32"/>
          <w:szCs w:val="32"/>
          <w:lang w:val="en"/>
        </w:rPr>
        <w:t>19</w:t>
      </w:r>
      <w:r>
        <w:rPr>
          <w:rFonts w:hint="eastAsia" w:eastAsia="仿宋_GB2312"/>
          <w:color w:val="000000"/>
          <w:sz w:val="32"/>
          <w:szCs w:val="32"/>
        </w:rPr>
        <w:t>号</w:t>
      </w:r>
    </w:p>
    <w:p>
      <w:pPr>
        <w:pStyle w:val="2"/>
        <w:adjustRightInd w:val="0"/>
        <w:spacing w:line="440" w:lineRule="exact"/>
        <w:rPr>
          <w:rFonts w:hAnsi="宋体" w:eastAsia="仿宋_GB2312"/>
          <w:b/>
          <w:bCs/>
          <w:sz w:val="32"/>
          <w:szCs w:val="44"/>
        </w:rPr>
      </w:pPr>
    </w:p>
    <w:p>
      <w:pPr>
        <w:pStyle w:val="2"/>
        <w:adjustRightInd w:val="0"/>
        <w:spacing w:line="440" w:lineRule="exact"/>
        <w:rPr>
          <w:rFonts w:hAnsi="宋体"/>
          <w:b/>
          <w:bCs/>
          <w:szCs w:val="44"/>
        </w:rPr>
      </w:pPr>
    </w:p>
    <w:p>
      <w:pPr>
        <w:pStyle w:val="2"/>
        <w:adjustRightInd w:val="0"/>
        <w:spacing w:line="600" w:lineRule="exact"/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  <w:t>市人社局关于2024年专业技术人员继续教育</w:t>
      </w:r>
    </w:p>
    <w:p>
      <w:pPr>
        <w:pStyle w:val="2"/>
        <w:adjustRightInd w:val="0"/>
        <w:spacing w:line="600" w:lineRule="exact"/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  <w:t>公需科目学习有关事项的通知</w:t>
      </w:r>
    </w:p>
    <w:p>
      <w:pPr>
        <w:pStyle w:val="2"/>
        <w:spacing w:line="600" w:lineRule="exact"/>
        <w:rPr>
          <w:rFonts w:hint="eastAsia" w:ascii="Times New Roman" w:hAnsi="Times New Roman" w:eastAsia="文星简小标宋"/>
          <w:sz w:val="32"/>
          <w:szCs w:val="32"/>
        </w:rPr>
      </w:pPr>
    </w:p>
    <w:p>
      <w:pPr>
        <w:adjustRightInd w:val="0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各区人力资源和社会保障局，各委办局（集团公司）、人民团体、大专院校人力资源（教育）部门，有关单位：</w:t>
      </w:r>
    </w:p>
    <w:p>
      <w:pPr>
        <w:spacing w:line="600" w:lineRule="exact"/>
        <w:ind w:right="-42" w:rightChars="-2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贯彻党的二十大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中央人才工作会议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进一步提升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我市专业技术人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综合素质，</w:t>
      </w:r>
      <w:r>
        <w:rPr>
          <w:rFonts w:hint="eastAsia" w:ascii="Times New Roman" w:eastAsia="仿宋_GB2312"/>
          <w:sz w:val="32"/>
          <w:szCs w:val="32"/>
        </w:rPr>
        <w:t>聚焦服务</w:t>
      </w:r>
      <w:r>
        <w:rPr>
          <w:rFonts w:hint="eastAsia" w:eastAsia="仿宋_GB2312"/>
          <w:sz w:val="32"/>
          <w:szCs w:val="32"/>
          <w:lang w:eastAsia="zh-CN"/>
        </w:rPr>
        <w:t>市委市政府</w:t>
      </w:r>
      <w:r>
        <w:rPr>
          <w:rFonts w:hint="eastAsia" w:asci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eastAsia="仿宋_GB2312"/>
          <w:sz w:val="32"/>
          <w:szCs w:val="32"/>
        </w:rPr>
        <w:t>十项行动</w:t>
      </w:r>
      <w:r>
        <w:rPr>
          <w:rFonts w:hint="eastAsia" w:ascii="Times New Roman" w:eastAsia="仿宋_GB2312"/>
          <w:sz w:val="32"/>
          <w:szCs w:val="32"/>
          <w:lang w:eastAsia="zh-CN"/>
        </w:rPr>
        <w:t>”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我市继续教育有关规定及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《市人社局关于落实专业技术人才知识更新工程重点任务的通知》（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津人社办函〔202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620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广泛征集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论证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，并征求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专业技术人才知识更新工程指导协调小组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成员单位意见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市人社局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确定了我市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年专业技术人员继续教育公需科目（以下简称公需科目）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现就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有关事项通知如下：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参加人员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全市各类企事业单位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（含驻津）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及社会团体等组织中在职的专业技术人员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从事专业技术工作的自由职业者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、新就业形态劳动者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二、时间安排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公需科目学习时间为202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年全年。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、学时规定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专业技术人员全年需完成公需科目32学时，其中，必修课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选修课2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学时。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、学习内容和方式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必修课为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门，选修课为京津冀协同发展走深走实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、制造业高质量发展、科教兴市人才强市、港产城融合发展、滨海新区高质量发展支撑引领、中心城区更新提升、乡村振兴全面推进、绿色低碳发展、高品质生活创造、党建引领基层治理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类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4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门，详见《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年天津市专业技术人员继续教育公需科目指导目录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>
      <w:pPr>
        <w:adjustRightInd w:val="0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必修课可登录天津市专业技术人员继续教育网（网址：http://tjjxjy.chinahrt.com，以下简称继续教育网）进行免费学习，考核合格后取得相应学时；选修课可在继续教育网自主选课开展学习，也可参加由本区、本系统或本单位组织的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选修课范围的课程。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事宜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公需科目学习是专业技术人员继续教育的重要内容。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专业技术人员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继续教育学习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方面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足额完成公需科目学时的，视为不符合继续教育学习要求。专业技术人员完成公需科目学习后，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应按规定及时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学时登记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详见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天津市专业技术人员继续教育学时年度登记表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在职称申报时作为佐证材料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未完成20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继续教育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公需科目学习任务的专业技术人员，202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年仍可通过继续教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育网“补学窗口”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学习，完成学习任务并经考核合格后，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计入补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学年份公需科目学时，从继续教育网打印培训合格证书。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）公需科目培训相关费用，可按国家有关规定从单位职工教育培训经费中列支。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本通知自印发之日起施行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2024年1月1日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之前已选但未修完的课程不结转计入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年度公需科目学时。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系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：市人社局专业技术人员管理处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闵瑞琛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、王世鹏</w:t>
      </w:r>
    </w:p>
    <w:p>
      <w:pPr>
        <w:pStyle w:val="7"/>
        <w:spacing w:line="600" w:lineRule="exact"/>
        <w:jc w:val="both"/>
        <w:rPr>
          <w:rFonts w:hint="default" w:ascii="Times New Roman" w:hAnsi="Times New Roman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联系电话：83218426、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8321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132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adjustRightInd w:val="0"/>
        <w:spacing w:line="600" w:lineRule="exact"/>
        <w:ind w:left="1560" w:hanging="922"/>
        <w:jc w:val="both"/>
        <w:rPr>
          <w:rFonts w:hint="default" w:eastAsia="仿宋_GB2312" w:cs="Times New Roman"/>
          <w:color w:val="auto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>2024年天津市专业技术人员继续教育公需科目</w:t>
      </w:r>
    </w:p>
    <w:p>
      <w:pPr>
        <w:adjustRightInd w:val="0"/>
        <w:spacing w:line="600" w:lineRule="exact"/>
        <w:ind w:left="1560" w:hanging="922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 xml:space="preserve"> 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>指导目录</w:t>
      </w:r>
    </w:p>
    <w:p>
      <w:pPr>
        <w:numPr>
          <w:ilvl w:val="-1"/>
          <w:numId w:val="0"/>
        </w:numPr>
        <w:adjustRightInd w:val="0"/>
        <w:spacing w:line="600" w:lineRule="exact"/>
        <w:ind w:left="0" w:leftChars="0" w:firstLine="1600" w:firstLineChars="5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天津市专业技术人员继续教育学时年度登记表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spacing w:line="600" w:lineRule="exact"/>
        <w:rPr>
          <w:rFonts w:hint="default" w:ascii="Times New Roman" w:hAnsi="Times New Roman"/>
        </w:rPr>
      </w:pPr>
    </w:p>
    <w:p>
      <w:pPr>
        <w:spacing w:line="600" w:lineRule="exact"/>
        <w:ind w:firstLine="5018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4160" w:firstLineChars="13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pStyle w:val="2"/>
        <w:adjustRightInd w:val="0"/>
        <w:spacing w:line="600" w:lineRule="exact"/>
        <w:jc w:val="both"/>
        <w:rPr>
          <w:rFonts w:hint="default" w:ascii="Times New Roman" w:hAnsi="Times New Roman" w:eastAsia="文星简小标宋" w:cs="Times New Roman"/>
          <w:b w:val="0"/>
          <w:bCs/>
          <w:color w:val="auto"/>
          <w:szCs w:val="44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（此件主动公开）</w:t>
      </w:r>
    </w:p>
    <w:p>
      <w:pPr>
        <w:spacing w:line="600" w:lineRule="exact"/>
        <w:rPr>
          <w:rFonts w:hint="eastAsia" w:ascii="Times New Roman" w:eastAsia="仿宋_GB2312"/>
          <w:sz w:val="32"/>
        </w:rPr>
      </w:pPr>
    </w:p>
    <w:p>
      <w:pPr>
        <w:spacing w:line="600" w:lineRule="exact"/>
        <w:rPr>
          <w:rFonts w:hint="eastAsia" w:ascii="Times New Roman" w:eastAsia="仿宋_GB2312"/>
          <w:sz w:val="32"/>
        </w:rPr>
      </w:pPr>
    </w:p>
    <w:p>
      <w:pPr>
        <w:spacing w:line="600" w:lineRule="exact"/>
        <w:rPr>
          <w:rFonts w:hint="eastAsia" w:ascii="Times New Roman" w:eastAsia="仿宋_GB2312"/>
          <w:sz w:val="32"/>
        </w:rPr>
      </w:pPr>
    </w:p>
    <w:p>
      <w:pPr>
        <w:widowControl/>
        <w:wordWrap w:val="0"/>
        <w:snapToGrid w:val="0"/>
        <w:spacing w:line="600" w:lineRule="exact"/>
        <w:rPr>
          <w:rFonts w:hint="eastAsia" w:hAnsi="Times New Roman" w:eastAsia="黑体"/>
          <w:color w:val="000000"/>
          <w:kern w:val="0"/>
          <w:sz w:val="32"/>
          <w:szCs w:val="32"/>
        </w:rPr>
      </w:pPr>
      <w:r>
        <w:rPr>
          <w:rFonts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hint="default" w:hAnsi="Times New Roman" w:eastAsia="黑体"/>
          <w:color w:val="000000"/>
          <w:kern w:val="0"/>
          <w:sz w:val="32"/>
          <w:szCs w:val="32"/>
          <w:lang w:val="en"/>
        </w:rPr>
        <w:t>1</w:t>
      </w:r>
    </w:p>
    <w:p>
      <w:pPr>
        <w:widowControl/>
        <w:wordWrap w:val="0"/>
        <w:snapToGrid w:val="0"/>
        <w:spacing w:line="600" w:lineRule="exact"/>
        <w:rPr>
          <w:rFonts w:hAnsi="Times New Roman" w:eastAsia="黑体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600" w:lineRule="exact"/>
        <w:jc w:val="center"/>
        <w:rPr>
          <w:rFonts w:hAnsi="Times New Roman" w:eastAsia="文星简小标宋"/>
          <w:color w:val="000000"/>
          <w:kern w:val="0"/>
          <w:sz w:val="44"/>
          <w:szCs w:val="44"/>
        </w:rPr>
      </w:pPr>
      <w:r>
        <w:rPr>
          <w:rFonts w:hAnsi="Times New Roman" w:eastAsia="文星简小标宋"/>
          <w:color w:val="000000"/>
          <w:kern w:val="0"/>
          <w:sz w:val="44"/>
          <w:szCs w:val="44"/>
        </w:rPr>
        <w:t>20</w:t>
      </w:r>
      <w:r>
        <w:rPr>
          <w:rFonts w:hint="eastAsia" w:hAnsi="Times New Roman" w:eastAsia="文星简小标宋"/>
          <w:color w:val="000000"/>
          <w:kern w:val="0"/>
          <w:sz w:val="44"/>
          <w:szCs w:val="44"/>
        </w:rPr>
        <w:t>2</w:t>
      </w:r>
      <w:r>
        <w:rPr>
          <w:rFonts w:hint="eastAsia" w:hAnsi="Times New Roman" w:eastAsia="文星简小标宋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Ansi="Times New Roman" w:eastAsia="文星简小标宋"/>
          <w:color w:val="000000"/>
          <w:kern w:val="0"/>
          <w:sz w:val="44"/>
          <w:szCs w:val="44"/>
        </w:rPr>
        <w:t>年天津市专业技术人员继续教育</w:t>
      </w:r>
    </w:p>
    <w:p>
      <w:pPr>
        <w:widowControl/>
        <w:wordWrap w:val="0"/>
        <w:spacing w:line="600" w:lineRule="exact"/>
        <w:jc w:val="center"/>
        <w:rPr>
          <w:rFonts w:hAnsi="Times New Roman" w:eastAsia="文星简小标宋"/>
          <w:color w:val="000000"/>
          <w:kern w:val="0"/>
          <w:sz w:val="44"/>
          <w:szCs w:val="44"/>
        </w:rPr>
      </w:pPr>
      <w:r>
        <w:rPr>
          <w:rFonts w:hAnsi="Times New Roman" w:eastAsia="文星简小标宋"/>
          <w:color w:val="000000"/>
          <w:kern w:val="0"/>
          <w:sz w:val="44"/>
          <w:szCs w:val="44"/>
        </w:rPr>
        <w:t>公需科目指导目录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黑体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黑体"/>
          <w:color w:val="000000"/>
          <w:kern w:val="0"/>
          <w:sz w:val="32"/>
          <w:szCs w:val="32"/>
        </w:rPr>
      </w:pPr>
      <w:r>
        <w:rPr>
          <w:rFonts w:hint="eastAsia" w:hAnsi="Times New Roman" w:eastAsia="黑体"/>
          <w:color w:val="000000"/>
          <w:kern w:val="0"/>
          <w:sz w:val="32"/>
          <w:szCs w:val="32"/>
        </w:rPr>
        <w:t>一、</w:t>
      </w:r>
      <w:r>
        <w:rPr>
          <w:rFonts w:hAnsi="Times New Roman" w:eastAsia="黑体"/>
          <w:color w:val="000000"/>
          <w:kern w:val="0"/>
          <w:sz w:val="32"/>
          <w:szCs w:val="32"/>
        </w:rPr>
        <w:t>必修课</w:t>
      </w:r>
      <w:r>
        <w:rPr>
          <w:rFonts w:hint="eastAsia" w:hAnsi="Times New Roman" w:eastAsia="黑体"/>
          <w:color w:val="000000"/>
          <w:kern w:val="0"/>
          <w:sz w:val="32"/>
          <w:szCs w:val="32"/>
        </w:rPr>
        <w:t>（</w:t>
      </w:r>
      <w:r>
        <w:rPr>
          <w:rFonts w:hint="eastAsia" w:hAnsi="Times New Roman" w:eastAsia="黑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hAnsi="Times New Roman" w:eastAsia="黑体"/>
          <w:color w:val="000000"/>
          <w:kern w:val="0"/>
          <w:sz w:val="32"/>
          <w:szCs w:val="32"/>
        </w:rPr>
        <w:t>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（一）实施科教兴国战略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强化现代化建设人才支撑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（二）推进国家安全体系和能力现代化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坚决维护国家安全和社会稳定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（三）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法治建设与国家治理现代化</w:t>
      </w:r>
    </w:p>
    <w:p>
      <w:pPr>
        <w:widowControl/>
        <w:wordWrap w:val="0"/>
        <w:spacing w:line="600" w:lineRule="exact"/>
        <w:ind w:firstLine="640"/>
        <w:jc w:val="left"/>
        <w:rPr>
          <w:rFonts w:hint="default" w:hAnsi="Times New Roman" w:eastAsia="仿宋_GB2312"/>
          <w:color w:val="000000"/>
          <w:kern w:val="0"/>
          <w:sz w:val="32"/>
          <w:szCs w:val="32"/>
          <w:lang w:val="en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（四）数字技术领域新职业</w:t>
      </w:r>
      <w:r>
        <w:rPr>
          <w:rFonts w:hint="default" w:hAnsi="Times New Roman" w:eastAsia="仿宋_GB2312"/>
          <w:color w:val="000000"/>
          <w:kern w:val="0"/>
          <w:sz w:val="32"/>
          <w:szCs w:val="32"/>
          <w:lang w:val="en" w:eastAsia="zh-CN"/>
        </w:rPr>
        <w:t>--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" w:eastAsia="zh-CN"/>
        </w:rPr>
        <w:t>人工智能与行业应用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黑体"/>
          <w:color w:val="000000"/>
          <w:kern w:val="0"/>
          <w:sz w:val="32"/>
          <w:szCs w:val="32"/>
        </w:rPr>
      </w:pPr>
      <w:r>
        <w:rPr>
          <w:rFonts w:hint="eastAsia" w:hAnsi="Times New Roman" w:eastAsia="黑体"/>
          <w:color w:val="000000"/>
          <w:kern w:val="0"/>
          <w:sz w:val="32"/>
          <w:szCs w:val="32"/>
        </w:rPr>
        <w:t>二、</w:t>
      </w:r>
      <w:r>
        <w:rPr>
          <w:rFonts w:hAnsi="Times New Roman" w:eastAsia="黑体"/>
          <w:color w:val="000000"/>
          <w:kern w:val="0"/>
          <w:sz w:val="32"/>
          <w:szCs w:val="32"/>
        </w:rPr>
        <w:t>选修课（</w:t>
      </w:r>
      <w:r>
        <w:rPr>
          <w:rFonts w:hint="eastAsia" w:hAnsi="Times New Roman" w:eastAsia="黑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eastAsia="黑体"/>
          <w:color w:val="000000"/>
          <w:kern w:val="0"/>
          <w:sz w:val="32"/>
          <w:szCs w:val="32"/>
          <w:lang w:val="en" w:eastAsia="zh-CN"/>
        </w:rPr>
        <w:t>6</w:t>
      </w:r>
      <w:r>
        <w:rPr>
          <w:rFonts w:hint="eastAsia" w:hAnsi="Times New Roman" w:eastAsia="黑体"/>
          <w:color w:val="000000"/>
          <w:kern w:val="0"/>
          <w:sz w:val="32"/>
          <w:szCs w:val="32"/>
        </w:rPr>
        <w:t>门</w:t>
      </w:r>
      <w:r>
        <w:rPr>
          <w:rFonts w:hAnsi="Times New Roman" w:eastAsia="黑体"/>
          <w:color w:val="000000"/>
          <w:kern w:val="0"/>
          <w:sz w:val="32"/>
          <w:szCs w:val="32"/>
        </w:rPr>
        <w:t>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（一）京津冀协同发展走深走实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京津冀协同创新共同体建设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2. 京津冀协同发展的经济路径与实践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3. 面向京津冀协同发展的智慧城市规划与建设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京津冀协同发展下的能源战略规划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（二）制造业高质量发展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1.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 质量强国建设</w:t>
      </w:r>
    </w:p>
    <w:p>
      <w:pPr>
        <w:widowControl/>
        <w:wordWrap w:val="0"/>
        <w:spacing w:line="600" w:lineRule="exact"/>
        <w:ind w:firstLine="640" w:firstLineChars="20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2.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 智能制造与企业数字化转型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 xml:space="preserve">3. 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知识产权保护与运用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工业互联网关键技术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  <w:t>及应用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wordWrap w:val="0"/>
        <w:spacing w:line="600" w:lineRule="exact"/>
        <w:ind w:firstLine="640"/>
        <w:jc w:val="left"/>
        <w:rPr>
          <w:rFonts w:hint="default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5. 新质生产力建设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（三）科教兴市人才强市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建设教育强国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2. 专业技术人员科研能力提升 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科技成果转化与应用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数字经济技术技能人才培育</w:t>
      </w:r>
    </w:p>
    <w:p>
      <w:pPr>
        <w:widowControl/>
        <w:wordWrap w:val="0"/>
        <w:spacing w:line="600" w:lineRule="exact"/>
        <w:ind w:firstLine="640"/>
        <w:jc w:val="left"/>
        <w:rPr>
          <w:rFonts w:hint="default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5. 建设人才强国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（四）港产城融合发展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 xml:space="preserve">1.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构建港产城融合新格局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2. 综合交通运输体系建设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物流管理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4. 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  <w:t>港口与航运产业数字化、绿色化技术应用</w:t>
      </w:r>
    </w:p>
    <w:p>
      <w:pPr>
        <w:widowControl/>
        <w:numPr>
          <w:ilvl w:val="0"/>
          <w:numId w:val="1"/>
        </w:numPr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消防安全与应急管理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（五）滨海新区高质量发展支撑引领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 xml:space="preserve">1. 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滨海新区高质量发展</w:t>
      </w:r>
    </w:p>
    <w:p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2. 深化“放管服”改革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优化营商环境</w:t>
      </w:r>
    </w:p>
    <w:p>
      <w:pPr>
        <w:spacing w:line="600" w:lineRule="exact"/>
        <w:ind w:firstLine="640" w:firstLineChars="200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网络信息安全与数字经济创新发展</w:t>
      </w:r>
    </w:p>
    <w:p>
      <w:pPr>
        <w:spacing w:line="600" w:lineRule="exact"/>
        <w:ind w:firstLine="640" w:firstLineChars="200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数字化转型与管理创新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（六）中心城区更新提升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1.</w:t>
      </w:r>
      <w:r>
        <w:rPr>
          <w:rFonts w:hAnsi="Times New Roman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数字政府建设与发展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智慧城市建设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城市轨道交通发展与运营安全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  <w:lang w:val="en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4. 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  <w:t>推动商旅文深度融合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（七）乡村振兴全面推进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1. 城乡中国时代的乡村振兴和共同富裕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2. 文旅发展助推乡村振兴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乡村振兴与生态农业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《习近平关于国家粮食安全论述摘编》解读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（八）绿色低碳发展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1. 双碳理念与气候变化</w:t>
      </w:r>
    </w:p>
    <w:p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2. 科技赋能碳中和与绿色高质量发展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数字技术与双碳双循环视野下新产业发展路径</w:t>
      </w:r>
    </w:p>
    <w:p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自然保护与生态安全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（九）高品质生活创造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数智化时代的旅游与康养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2. 职业教育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  <w:t>、标准化等法律法规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解读</w:t>
      </w:r>
    </w:p>
    <w:p>
      <w:pPr>
        <w:spacing w:line="600" w:lineRule="exact"/>
        <w:ind w:firstLine="641"/>
        <w:rPr>
          <w:rFonts w:hint="eastAsia" w:ascii="Times New Roman" w:eastAsia="仿宋_GB2312"/>
          <w:sz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3.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食品安全</w:t>
      </w:r>
    </w:p>
    <w:p>
      <w:pPr>
        <w:spacing w:line="600" w:lineRule="exact"/>
        <w:ind w:firstLine="641"/>
        <w:rPr>
          <w:rFonts w:hint="eastAsia" w:ascii="Times New Roman" w:eastAsia="仿宋_GB2312"/>
          <w:sz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青少年近视防控</w:t>
      </w:r>
    </w:p>
    <w:p>
      <w:pPr>
        <w:spacing w:line="600" w:lineRule="exact"/>
        <w:ind w:firstLine="641"/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国学经典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6. 国产软件应用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  <w:lang w:val="en" w:eastAsia="zh-CN"/>
        </w:rPr>
      </w:pPr>
      <w:r>
        <w:rPr>
          <w:rFonts w:hint="default" w:hAnsi="Times New Roman" w:eastAsia="仿宋_GB2312"/>
          <w:color w:val="000000"/>
          <w:kern w:val="0"/>
          <w:sz w:val="32"/>
          <w:szCs w:val="32"/>
          <w:lang w:val="en"/>
        </w:rPr>
        <w:t xml:space="preserve">7. 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" w:eastAsia="zh-CN"/>
        </w:rPr>
        <w:t>就业、创业、社会保险等政策解读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（十）党建引领基层治理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1.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习近平总书记关于新时代党的组织路线的论述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2. 做好新时代基层党建工作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新时代社会工作人才队伍建设</w:t>
      </w:r>
    </w:p>
    <w:p>
      <w:pPr>
        <w:spacing w:line="600" w:lineRule="exact"/>
        <w:ind w:firstLine="641"/>
        <w:rPr>
          <w:rFonts w:hint="eastAsia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加强与创新社会管理 依法处理社会事务</w:t>
      </w:r>
    </w:p>
    <w:sectPr>
      <w:footerReference r:id="rId5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AD2621-BDA6-4FB8-8675-7B0EB8E9D7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2E051F2-E6F1-44EA-AFE1-3F59FCF75C8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789204F-59FA-4CF9-98C2-131ACF92CEF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F08AB70-18B5-451A-AA25-B27573E93917}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C3AAA82F-3646-4563-9692-87392BB687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0A8FA"/>
    <w:multiLevelType w:val="singleLevel"/>
    <w:tmpl w:val="BC70A8FA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9073BED"/>
    <w:rsid w:val="29D8CF7F"/>
    <w:rsid w:val="3BF84117"/>
    <w:rsid w:val="3FFF22E8"/>
    <w:rsid w:val="4AC33456"/>
    <w:rsid w:val="53BBB401"/>
    <w:rsid w:val="5BCF1012"/>
    <w:rsid w:val="5F7F0999"/>
    <w:rsid w:val="5FBA4B9B"/>
    <w:rsid w:val="68DA2FED"/>
    <w:rsid w:val="6DFF94A7"/>
    <w:rsid w:val="6FBD35F2"/>
    <w:rsid w:val="7063975C"/>
    <w:rsid w:val="71773CF2"/>
    <w:rsid w:val="7AF44802"/>
    <w:rsid w:val="7BFF7016"/>
    <w:rsid w:val="7CFF4CD6"/>
    <w:rsid w:val="7FEFC8C7"/>
    <w:rsid w:val="B7B1C7D3"/>
    <w:rsid w:val="DFDF9A4E"/>
    <w:rsid w:val="EAFF48C7"/>
    <w:rsid w:val="EBF1E6EB"/>
    <w:rsid w:val="EFCD249A"/>
    <w:rsid w:val="EFF2C1DF"/>
    <w:rsid w:val="EFFFEED2"/>
    <w:rsid w:val="F556D695"/>
    <w:rsid w:val="F6FF0AFB"/>
    <w:rsid w:val="F77F0899"/>
    <w:rsid w:val="F9670AD1"/>
    <w:rsid w:val="FE5A2FB3"/>
    <w:rsid w:val="FFEA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 w:firstLine="0" w:firstLineChars="0"/>
      <w:jc w:val="center"/>
      <w:outlineLvl w:val="0"/>
    </w:pPr>
    <w:rPr>
      <w:rFonts w:hint="eastAsia" w:ascii="等线 Light" w:hAnsi="等线 Light" w:eastAsia="方正小标宋_GBK" w:cs="Times New Roman"/>
      <w:bCs/>
      <w:kern w:val="2"/>
      <w:sz w:val="44"/>
      <w:szCs w:val="32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6</TotalTime>
  <ScaleCrop>false</ScaleCrop>
  <LinksUpToDate>false</LinksUpToDate>
  <CharactersWithSpaces>229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2020-09-20T14:56:00Z</dcterms:created>
  <dc:creator>linhong</dc:creator>
  <cp:lastModifiedBy>琦琦乖乖的</cp:lastModifiedBy>
  <cp:lastPrinted>2024-01-16T17:20:00Z</cp:lastPrinted>
  <dcterms:modified xsi:type="dcterms:W3CDTF">2024-01-16T06:18:55Z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D2BD1860C4684E289FDC96102D11CE3F_12</vt:lpwstr>
  </property>
</Properties>
</file>